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2D" w:rsidRDefault="00891893">
      <w:pPr>
        <w:spacing w:after="0" w:line="240" w:lineRule="auto"/>
        <w:rPr>
          <w:b/>
          <w:bCs/>
        </w:rPr>
      </w:pPr>
      <w:r>
        <w:rPr>
          <w:b/>
          <w:bCs/>
        </w:rPr>
        <w:t>Lernfeldstrukturanalyse für das LF 8:</w:t>
      </w:r>
    </w:p>
    <w:p w:rsidR="00254F2D" w:rsidRDefault="00891893">
      <w:pPr>
        <w:spacing w:after="0" w:line="240" w:lineRule="auto"/>
        <w:ind w:right="-314"/>
        <w:jc w:val="left"/>
        <w:rPr>
          <w:b/>
          <w:szCs w:val="24"/>
        </w:rPr>
      </w:pPr>
      <w:r>
        <w:rPr>
          <w:rFonts w:cs="Arial"/>
          <w:b/>
        </w:rPr>
        <w:t xml:space="preserve">Kosten- und Leistungsrechnung zur Vorbereitung unternehmerischer Entscheidungen durchführen. </w:t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sz w:val="28"/>
          <w:szCs w:val="24"/>
        </w:rPr>
        <w:tab/>
      </w:r>
      <w:r>
        <w:rPr>
          <w:b/>
          <w:bCs/>
          <w:color w:val="000000" w:themeColor="text1"/>
          <w:sz w:val="28"/>
        </w:rPr>
        <w:t>80</w:t>
      </w:r>
      <w:r>
        <w:rPr>
          <w:b/>
          <w:bCs/>
          <w:sz w:val="28"/>
        </w:rPr>
        <w:t xml:space="preserve"> Std</w:t>
      </w:r>
      <w:r>
        <w:rPr>
          <w:b/>
          <w:bCs/>
        </w:rPr>
        <w:t>.</w:t>
      </w:r>
    </w:p>
    <w:p w:rsidR="00254F2D" w:rsidRDefault="00254F2D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de-DE"/>
        </w:rPr>
      </w:pPr>
    </w:p>
    <w:p w:rsidR="00254F2D" w:rsidRDefault="00891893">
      <w:pPr>
        <w:spacing w:after="0"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Die Schülerinnen und Schüler verfügen über die Kompetenz, die Kosten- und Leistungsrechnung durchzuführen und die Ergebnisse zur Vorbereitung unternehmerischer Entscheidungen zu nutzen. </w:t>
      </w:r>
    </w:p>
    <w:p w:rsidR="00254F2D" w:rsidRDefault="00254F2D">
      <w:pPr>
        <w:spacing w:after="0" w:line="240" w:lineRule="auto"/>
        <w:rPr>
          <w:rFonts w:cs="Arial"/>
          <w:b/>
          <w:bCs/>
          <w:szCs w:val="24"/>
        </w:rPr>
      </w:pPr>
    </w:p>
    <w:p w:rsidR="00254F2D" w:rsidRDefault="00891893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Die nachstehenden Kompetenzformulierungen beziehen sich auf die Fach</w:t>
      </w:r>
      <w:r>
        <w:rPr>
          <w:rFonts w:cs="Arial"/>
          <w:szCs w:val="24"/>
        </w:rPr>
        <w:t>kompetenz, weitere Aspekte der Handlungskompetenz werden hier nicht ausgeführt. Bei den formulierten Kompetenzen handelt es sich um einen Vorschlag des Autorenteams. Daraus ist keine Verbindlichkeit abzuleiten. Gleiches gilt für pädagogisch-didaktische Übe</w:t>
      </w:r>
      <w:r>
        <w:rPr>
          <w:rFonts w:cs="Arial"/>
          <w:szCs w:val="24"/>
        </w:rPr>
        <w:t xml:space="preserve">rlegungen der unterrichtenden Lehrkraft. </w:t>
      </w:r>
    </w:p>
    <w:p w:rsidR="00254F2D" w:rsidRDefault="00254F2D">
      <w:pPr>
        <w:spacing w:after="0" w:line="240" w:lineRule="auto"/>
        <w:rPr>
          <w:rFonts w:cs="Arial"/>
          <w:szCs w:val="24"/>
        </w:rPr>
      </w:pPr>
    </w:p>
    <w:p w:rsidR="00254F2D" w:rsidRDefault="00891893">
      <w:pPr>
        <w:spacing w:after="0" w:line="240" w:lineRule="auto"/>
        <w:rPr>
          <w:rStyle w:val="docy"/>
          <w:szCs w:val="24"/>
          <w:u w:val="single"/>
        </w:rPr>
      </w:pPr>
      <w:r>
        <w:rPr>
          <w:rStyle w:val="docy"/>
          <w:szCs w:val="24"/>
          <w:u w:val="single"/>
        </w:rPr>
        <w:t>Hinweise:</w:t>
      </w:r>
    </w:p>
    <w:p w:rsidR="00254F2D" w:rsidRDefault="00891893">
      <w:pPr>
        <w:pStyle w:val="Listenabsatz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rFonts w:cs="Arial"/>
          <w:bCs/>
          <w:szCs w:val="24"/>
        </w:rPr>
        <w:t>Die angegebenen Zeitrichtwerte dienen der Orientierung, sie werden sich an die unterrichtliche Praxis anpassen.</w:t>
      </w:r>
    </w:p>
    <w:p w:rsidR="00254F2D" w:rsidRDefault="00891893">
      <w:pPr>
        <w:pStyle w:val="Listenabsatz"/>
        <w:numPr>
          <w:ilvl w:val="0"/>
          <w:numId w:val="3"/>
        </w:numPr>
        <w:spacing w:after="0" w:line="240" w:lineRule="auto"/>
        <w:rPr>
          <w:rStyle w:val="docy"/>
          <w:szCs w:val="24"/>
        </w:rPr>
      </w:pPr>
      <w:r>
        <w:rPr>
          <w:rStyle w:val="docy"/>
          <w:szCs w:val="24"/>
        </w:rPr>
        <w:t>Zum Zeitpunkt der Erstellung der Lernfeldstrukturanalyse waren sowohl der Rahmenlehrplan al</w:t>
      </w:r>
      <w:r>
        <w:rPr>
          <w:rStyle w:val="docy"/>
          <w:szCs w:val="24"/>
        </w:rPr>
        <w:t>s auch die bayerische Lehrplanrichtlinie veröffentlicht, jedoch lagen noch keine Prüfungskataloge oder ähnliches vor.</w:t>
      </w:r>
    </w:p>
    <w:p w:rsidR="00254F2D" w:rsidRDefault="00891893">
      <w:pPr>
        <w:pStyle w:val="Listenabsatz"/>
        <w:numPr>
          <w:ilvl w:val="0"/>
          <w:numId w:val="3"/>
        </w:numPr>
        <w:spacing w:after="0" w:line="240" w:lineRule="auto"/>
        <w:rPr>
          <w:bCs/>
          <w:szCs w:val="24"/>
        </w:rPr>
      </w:pPr>
      <w:r>
        <w:rPr>
          <w:rFonts w:cs="Arial"/>
          <w:bCs/>
          <w:szCs w:val="24"/>
        </w:rPr>
        <w:t>Abweichungen bei den Kompetenzformulierungen gegenüber des Rahmenlehrplans dienen der besseren Lesbarkeit, es ergeben sich daraus keine in</w:t>
      </w:r>
      <w:r>
        <w:rPr>
          <w:rFonts w:cs="Arial"/>
          <w:bCs/>
          <w:szCs w:val="24"/>
        </w:rPr>
        <w:t>haltlichen Differenzen.</w:t>
      </w: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8918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Legende:</w:t>
      </w:r>
    </w:p>
    <w:p w:rsidR="00254F2D" w:rsidRDefault="008918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UE = 45 Minuten</w:t>
      </w:r>
    </w:p>
    <w:p w:rsidR="00254F2D" w:rsidRDefault="008918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>Kursive Schriftart</w:t>
      </w:r>
      <w:r>
        <w:rPr>
          <w:rFonts w:cs="Arial"/>
          <w:sz w:val="20"/>
          <w:szCs w:val="20"/>
        </w:rPr>
        <w:t xml:space="preserve"> = Mindestinhalte, im Rahmenlehrplan vorgegeben</w:t>
      </w: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254F2D">
      <w:pPr>
        <w:spacing w:after="0" w:line="240" w:lineRule="auto"/>
        <w:rPr>
          <w:rFonts w:cs="Arial"/>
          <w:sz w:val="20"/>
          <w:szCs w:val="20"/>
        </w:rPr>
      </w:pPr>
    </w:p>
    <w:p w:rsidR="00254F2D" w:rsidRDefault="00891893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Autorenteam:</w:t>
      </w:r>
    </w:p>
    <w:p w:rsidR="00254F2D" w:rsidRDefault="00891893">
      <w:pPr>
        <w:spacing w:after="0" w:line="240" w:lineRule="auto"/>
        <w:rPr>
          <w:rFonts w:cs="Arial"/>
          <w:sz w:val="20"/>
          <w:szCs w:val="20"/>
        </w:rPr>
      </w:pPr>
      <w:bookmarkStart w:id="0" w:name="_Hlk159935973"/>
      <w:r>
        <w:rPr>
          <w:rFonts w:cs="Arial"/>
          <w:sz w:val="20"/>
          <w:szCs w:val="20"/>
        </w:rPr>
        <w:t>Harald Decker, Staatliche Berufsschule II Passau</w:t>
      </w:r>
    </w:p>
    <w:p w:rsidR="00254F2D" w:rsidRDefault="008918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Thomas </w:t>
      </w:r>
      <w:proofErr w:type="spellStart"/>
      <w:r>
        <w:rPr>
          <w:rFonts w:cs="Arial"/>
          <w:sz w:val="20"/>
          <w:szCs w:val="20"/>
        </w:rPr>
        <w:t>Eldracher</w:t>
      </w:r>
      <w:proofErr w:type="spellEnd"/>
      <w:r>
        <w:rPr>
          <w:rFonts w:cs="Arial"/>
          <w:sz w:val="20"/>
          <w:szCs w:val="20"/>
        </w:rPr>
        <w:t>, Staatliche Berufsschule II Kempten (Allgäu)</w:t>
      </w:r>
    </w:p>
    <w:p w:rsidR="00254F2D" w:rsidRDefault="008918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Sabine Graf, Berufliches Schulzentrum Oskar-von-Miller Schwandorf I</w:t>
      </w:r>
    </w:p>
    <w:p w:rsidR="00254F2D" w:rsidRDefault="008918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Christian Heidinger, Staatliche Berufsschule Donauwörth</w:t>
      </w:r>
    </w:p>
    <w:p w:rsidR="00254F2D" w:rsidRDefault="00891893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Marco Reitberger, Staatliche Berufsschule II Straubing-Bogen</w:t>
      </w:r>
      <w:bookmarkEnd w:id="0"/>
    </w:p>
    <w:p w:rsidR="00254F2D" w:rsidRDefault="00891893">
      <w:pPr>
        <w:spacing w:after="0" w:line="240" w:lineRule="auto"/>
        <w:jc w:val="left"/>
        <w:rPr>
          <w:rFonts w:cs="Arial"/>
          <w:sz w:val="22"/>
          <w:lang w:eastAsia="de-DE"/>
        </w:rPr>
      </w:pPr>
      <w:r>
        <w:rPr>
          <w:rFonts w:cs="Arial"/>
          <w:sz w:val="22"/>
          <w:lang w:eastAsia="de-DE"/>
        </w:rPr>
        <w:br w:type="page" w:clear="all"/>
      </w:r>
    </w:p>
    <w:p w:rsidR="00254F2D" w:rsidRDefault="00254F2D">
      <w:pPr>
        <w:tabs>
          <w:tab w:val="left" w:pos="3844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Style w:val="Tabellenraster"/>
        <w:tblW w:w="14502" w:type="dxa"/>
        <w:tblLayout w:type="fixed"/>
        <w:tblLook w:val="0620" w:firstRow="1" w:lastRow="0" w:firstColumn="0" w:lastColumn="0" w:noHBand="1" w:noVBand="1"/>
      </w:tblPr>
      <w:tblGrid>
        <w:gridCol w:w="3964"/>
        <w:gridCol w:w="2268"/>
        <w:gridCol w:w="2552"/>
        <w:gridCol w:w="2268"/>
        <w:gridCol w:w="1701"/>
        <w:gridCol w:w="1749"/>
      </w:tblGrid>
      <w:tr w:rsidR="00254F2D">
        <w:trPr>
          <w:cantSplit/>
          <w:trHeight w:val="460"/>
          <w:tblHeader/>
        </w:trPr>
        <w:tc>
          <w:tcPr>
            <w:tcW w:w="3964" w:type="dxa"/>
            <w:vMerge w:val="restart"/>
          </w:tcPr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bookmarkStart w:id="1" w:name="_Hlk159948229"/>
            <w:bookmarkStart w:id="2" w:name="_Hlk159948306"/>
            <w:r>
              <w:rPr>
                <w:rFonts w:cs="Arial"/>
                <w:b/>
                <w:bCs/>
                <w:sz w:val="20"/>
                <w:szCs w:val="20"/>
              </w:rPr>
              <w:t xml:space="preserve">Lernfeld 8: </w:t>
            </w:r>
          </w:p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Zeitrichtwert: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br/>
              <w:t>80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Stunden</w:t>
            </w:r>
          </w:p>
        </w:tc>
        <w:tc>
          <w:tcPr>
            <w:tcW w:w="7088" w:type="dxa"/>
            <w:gridSpan w:val="3"/>
          </w:tcPr>
          <w:p w:rsidR="00254F2D" w:rsidRDefault="00891893">
            <w:pPr>
              <w:widowControl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Handlungskompetenz</w:t>
            </w:r>
          </w:p>
        </w:tc>
        <w:tc>
          <w:tcPr>
            <w:tcW w:w="1701" w:type="dxa"/>
            <w:vMerge w:val="restart"/>
          </w:tcPr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Didaktik</w:t>
            </w:r>
          </w:p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Organisation</w:t>
            </w:r>
          </w:p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Verantwortlichkeit</w:t>
            </w:r>
          </w:p>
        </w:tc>
        <w:tc>
          <w:tcPr>
            <w:tcW w:w="1749" w:type="dxa"/>
            <w:vMerge w:val="restart"/>
          </w:tcPr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Verknüpfung mit anderen Lernfeldern/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Fächern</w:t>
            </w:r>
            <w:bookmarkEnd w:id="1"/>
          </w:p>
        </w:tc>
      </w:tr>
      <w:tr w:rsidR="00254F2D">
        <w:trPr>
          <w:cantSplit/>
          <w:trHeight w:val="460"/>
          <w:tblHeader/>
        </w:trPr>
        <w:tc>
          <w:tcPr>
            <w:tcW w:w="3964" w:type="dxa"/>
            <w:vMerge/>
          </w:tcPr>
          <w:p w:rsidR="00254F2D" w:rsidRDefault="00254F2D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Fachkompetenz</w:t>
            </w:r>
          </w:p>
        </w:tc>
        <w:tc>
          <w:tcPr>
            <w:tcW w:w="2552" w:type="dxa"/>
          </w:tcPr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Selbst-, Sozial-,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  <w:t>Methodenkompetenz</w:t>
            </w:r>
          </w:p>
        </w:tc>
        <w:tc>
          <w:tcPr>
            <w:tcW w:w="2268" w:type="dxa"/>
          </w:tcPr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Medienkompetenz</w:t>
            </w:r>
            <w:bookmarkEnd w:id="2"/>
          </w:p>
        </w:tc>
        <w:tc>
          <w:tcPr>
            <w:tcW w:w="1701" w:type="dxa"/>
            <w:vMerge/>
          </w:tcPr>
          <w:p w:rsidR="00254F2D" w:rsidRDefault="00254F2D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254F2D" w:rsidRDefault="00254F2D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54F2D">
        <w:trPr>
          <w:trHeight w:val="907"/>
        </w:trPr>
        <w:tc>
          <w:tcPr>
            <w:tcW w:w="3964" w:type="dxa"/>
            <w:vMerge w:val="restart"/>
          </w:tcPr>
          <w:p w:rsidR="00254F2D" w:rsidRDefault="00891893" w:rsidP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Übergeordneter Themenkomplex (TK):</w:t>
            </w:r>
          </w:p>
          <w:p w:rsidR="00254F2D" w:rsidRDefault="00891893" w:rsidP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Die Schülerinnen und Schüler verfügen über die Kompetenz, die Kosten- und Leistungsrechnung durchzuführen und die Ergebnisse zur Vorbereitung unternehmerischer Entscheidungen zu nutzen.</w:t>
            </w:r>
          </w:p>
          <w:p w:rsidR="00254F2D" w:rsidRDefault="00254F2D" w:rsidP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 w:rsidP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vMerge w:val="restart"/>
          </w:tcPr>
          <w:p w:rsidR="00254F2D" w:rsidRDefault="00254F2D" w:rsidP="00891893">
            <w:pPr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54F2D" w:rsidRDefault="00254F2D" w:rsidP="00891893">
            <w:pPr>
              <w:widowControl w:val="0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254F2D" w:rsidRDefault="00254F2D" w:rsidP="0089189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54F2D">
        <w:trPr>
          <w:cantSplit/>
          <w:trHeight w:val="907"/>
        </w:trPr>
        <w:tc>
          <w:tcPr>
            <w:tcW w:w="3964" w:type="dxa"/>
          </w:tcPr>
          <w:p w:rsidR="00254F2D" w:rsidRDefault="00891893" w:rsidP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Themenkomplex 1:</w:t>
            </w:r>
          </w:p>
          <w:p w:rsidR="00254F2D" w:rsidRDefault="00891893" w:rsidP="00891893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Abgrenzung und Analyse der Erfolgssituation</w:t>
            </w:r>
          </w:p>
          <w:p w:rsidR="00254F2D" w:rsidRDefault="00254F2D" w:rsidP="00891893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254F2D" w:rsidRDefault="00891893" w:rsidP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Die Schülerinnen und Schüler erschließen sich den Auftrag zur Analyse der Erfolgssituation des Unternehmens. Sie analysieren die Notwendigkeit der Abgrenzung vorhandener Daten des externen Rechnungswesens zur Vorbereitung unternehmerischer Entscheidungen.</w:t>
            </w:r>
          </w:p>
          <w:p w:rsidR="00254F2D" w:rsidRDefault="00254F2D" w:rsidP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254F2D" w:rsidRDefault="00254F2D" w:rsidP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254F2D" w:rsidRDefault="00891893" w:rsidP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4 UE</w:t>
            </w:r>
          </w:p>
        </w:tc>
        <w:tc>
          <w:tcPr>
            <w:tcW w:w="7088" w:type="dxa"/>
            <w:gridSpan w:val="3"/>
          </w:tcPr>
          <w:p w:rsidR="00254F2D" w:rsidRDefault="00254F2D" w:rsidP="00891893">
            <w:pPr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 w:rsidP="00891893">
            <w:pPr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SuS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:rsidR="00254F2D" w:rsidRDefault="00891893" w:rsidP="00891893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erschließen sich den Auftrag zur Analyse der Erfolgssituation des Unternehmens.</w:t>
            </w:r>
          </w:p>
          <w:p w:rsidR="00254F2D" w:rsidRDefault="00891893" w:rsidP="00891893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analysieren die Notwendigkeit der Abgrenzung vorhandener Daten des externen Rechnungswesens zur Vorbereitung unternehmerischer Entscheidungen.</w:t>
            </w:r>
          </w:p>
          <w:p w:rsidR="00254F2D" w:rsidRDefault="00254F2D" w:rsidP="00891893">
            <w:pPr>
              <w:pStyle w:val="Listenabsatz"/>
              <w:widowControl w:val="0"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 w:rsidP="00891893">
            <w:pPr>
              <w:widowControl w:val="0"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 w:rsidP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Mögliche Inhalte:</w:t>
            </w:r>
          </w:p>
          <w:p w:rsidR="00254F2D" w:rsidRDefault="00891893" w:rsidP="00891893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Abgrenzung zwischen externem und internem Rechnungswesen.</w:t>
            </w:r>
          </w:p>
          <w:p w:rsidR="00254F2D" w:rsidRDefault="00891893" w:rsidP="00891893">
            <w:pPr>
              <w:numPr>
                <w:ilvl w:val="0"/>
                <w:numId w:val="30"/>
              </w:numPr>
              <w:spacing w:after="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Analyse der Erfolgssituation anhand bestehender Daten.</w:t>
            </w:r>
          </w:p>
          <w:p w:rsidR="00254F2D" w:rsidRDefault="00891893" w:rsidP="00891893">
            <w:pPr>
              <w:numPr>
                <w:ilvl w:val="0"/>
                <w:numId w:val="30"/>
              </w:num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Notwendigkeit und Aufbau der Abgrenzungsrechnung.</w:t>
            </w:r>
          </w:p>
          <w:p w:rsidR="00254F2D" w:rsidRDefault="00254F2D" w:rsidP="00891893">
            <w:pPr>
              <w:widowControl w:val="0"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4F2D" w:rsidRDefault="00254F2D" w:rsidP="00891893">
            <w:pPr>
              <w:widowControl w:val="0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</w:tcPr>
          <w:p w:rsidR="00254F2D" w:rsidRDefault="00254F2D" w:rsidP="0089189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54F2D" w:rsidRDefault="00254F2D" w:rsidP="0089189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54F2D" w:rsidRDefault="00254F2D" w:rsidP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254F2D" w:rsidRDefault="00254F2D" w:rsidP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4F2D">
        <w:trPr>
          <w:trHeight w:val="907"/>
        </w:trPr>
        <w:tc>
          <w:tcPr>
            <w:tcW w:w="3964" w:type="dxa"/>
            <w:vMerge w:val="restart"/>
          </w:tcPr>
          <w:p w:rsidR="00254F2D" w:rsidRDefault="00891893">
            <w:pPr>
              <w:keepNext/>
              <w:keepLines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 xml:space="preserve">Themenkomplex 2: </w:t>
            </w: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Aufgaben des Rechnungswesens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Die Schülerinnen und Schüler informieren sich über die Aussagekraft der Ausgangsgrößen des externen Rechnungswesens und die Aufgaben des internen Rechnungswesens. </w:t>
            </w:r>
          </w:p>
          <w:p w:rsidR="00254F2D" w:rsidRDefault="00254F2D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Sie ermitteln mithilfe der Abgrenzungsrechnung die Kosten und Leistungen.</w:t>
            </w:r>
          </w:p>
          <w:p w:rsidR="00254F2D" w:rsidRDefault="00254F2D">
            <w:pPr>
              <w:keepNext/>
              <w:keepLines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keepNext/>
              <w:keepLines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keepNext/>
              <w:keepLines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15 UE</w:t>
            </w:r>
          </w:p>
          <w:p w:rsidR="00254F2D" w:rsidRDefault="00254F2D">
            <w:pPr>
              <w:keepNext/>
              <w:keepLines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vMerge w:val="restart"/>
          </w:tcPr>
          <w:p w:rsidR="00254F2D" w:rsidRDefault="00254F2D">
            <w:pPr>
              <w:keepNext/>
              <w:keepLines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keepNext/>
              <w:keepLines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SuS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informieren sich über die Aussagekraft der Ausgangsgrößen des externen Rechnungswesens.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analysieren die Aufgaben und Ziele des internen Rechnungswesens und erkennen den Unterschied zwischen internem und externem Rechnungswesen. 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unterscheiden die verschi</w:t>
            </w:r>
            <w:r>
              <w:rPr>
                <w:rFonts w:cs="Arial"/>
                <w:sz w:val="20"/>
                <w:szCs w:val="20"/>
              </w:rPr>
              <w:t>edenen kalkulatorischen Kosten.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60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ermitteln mithilfe der Abgrenzungsrechnung die relevanten Kosten und Leistungen und identifizieren Abweichungen zwischen externem und internem Rechnungswesen.</w:t>
            </w:r>
          </w:p>
          <w:p w:rsidR="00254F2D" w:rsidRDefault="00254F2D">
            <w:pPr>
              <w:keepNext/>
              <w:keepLines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keepNext/>
              <w:keepLines/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Mögliche Inhalte: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Aussagekraft der Ausgangsgrößen aus dem extern</w:t>
            </w:r>
            <w:r>
              <w:rPr>
                <w:rFonts w:cs="Arial"/>
                <w:sz w:val="20"/>
                <w:szCs w:val="20"/>
              </w:rPr>
              <w:t>en Rechnungswesen.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Ziele und Aufgaben des internen Rechnungswesens.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Kalkulatorische Kosten 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60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Aufbau und Durchführung der Abgrenzungsrechnung mithilfe der Ergebnistabelle.</w:t>
            </w:r>
          </w:p>
          <w:p w:rsidR="00254F2D" w:rsidRDefault="00254F2D">
            <w:pPr>
              <w:pStyle w:val="Listenabsatz"/>
              <w:keepNext/>
              <w:keepLines/>
              <w:spacing w:after="0" w:line="240" w:lineRule="auto"/>
              <w:ind w:left="17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54F2D" w:rsidRDefault="00254F2D">
            <w:pPr>
              <w:keepNext/>
              <w:keepLines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keepNext/>
              <w:keepLines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keepNext/>
              <w:keepLines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keepNext/>
              <w:keepLines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254F2D" w:rsidRDefault="00254F2D">
            <w:pPr>
              <w:keepNext/>
              <w:keepLines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254F2D">
        <w:trPr>
          <w:trHeight w:val="907"/>
        </w:trPr>
        <w:tc>
          <w:tcPr>
            <w:tcW w:w="3964" w:type="dxa"/>
            <w:vMerge w:val="restart"/>
          </w:tcPr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Themenkomplex 3: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Kostenartenrechnung und Vorbereitung Kostenstellenrechnung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Die Schülerinnen und Schüler bereiten die verursachungsgerechte Weiterverrechnung der Kosten auf Kostenstellen und Kostenträger vor. Dabei strukturieren sie die erfassten Werte nach entscheidungsrelevanten Kostenkategorien (variable und fixe Kosten, Einzel</w:t>
            </w:r>
            <w:r>
              <w:rPr>
                <w:rFonts w:cs="Arial"/>
                <w:sz w:val="20"/>
                <w:szCs w:val="20"/>
                <w:lang w:eastAsia="de-DE"/>
              </w:rPr>
              <w:t>- und Gemeinkosten).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7 UE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gridSpan w:val="3"/>
            <w:vMerge w:val="restart"/>
          </w:tcPr>
          <w:p w:rsidR="00254F2D" w:rsidRDefault="00254F2D">
            <w:pPr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SuS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strukturieren die erfassten Werte nach Kostenkategorien (variable und fixe Kosten, Einzel- und Gemeinkosten).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60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führen eine einstufige Kostenstellenrechnung durch.</w:t>
            </w:r>
          </w:p>
          <w:p w:rsidR="00254F2D" w:rsidRDefault="00254F2D">
            <w:pPr>
              <w:widowControl w:val="0"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Mögliche Inhalte: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Kategorien der Kosten: variable Kosten, fixe Kosten, Einzel- und Gemeinkosten.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60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einstufige Kostenstellenrechnung</w:t>
            </w:r>
          </w:p>
        </w:tc>
        <w:tc>
          <w:tcPr>
            <w:tcW w:w="1701" w:type="dxa"/>
            <w:vMerge w:val="restart"/>
          </w:tcPr>
          <w:p w:rsidR="00254F2D" w:rsidRDefault="00254F2D">
            <w:pPr>
              <w:widowControl w:val="0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254F2D" w:rsidRDefault="00891893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Kategorien der Kosten: LF6 TK 5</w:t>
            </w:r>
          </w:p>
        </w:tc>
      </w:tr>
      <w:tr w:rsidR="00254F2D">
        <w:trPr>
          <w:trHeight w:val="907"/>
        </w:trPr>
        <w:tc>
          <w:tcPr>
            <w:tcW w:w="3964" w:type="dxa"/>
            <w:vMerge w:val="restart"/>
          </w:tcPr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Themenkomplex 4: </w:t>
            </w: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Kostenstellen- und Kostenträgerzeitrechnung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Die Schülerinnen und Schüler führen eine mehrstufige Kostenstellenrechnung auch unter Berücksichtigung von Maschinenstundensätzen durch. </w:t>
            </w:r>
          </w:p>
          <w:p w:rsidR="00254F2D" w:rsidRDefault="00254F2D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Sie kalkulieren auf Vollkostenbasis die Selbstkosten der Kostenträger des Unternehmens. Dabei nutzen sie auch digital</w:t>
            </w:r>
            <w:r>
              <w:rPr>
                <w:rFonts w:cs="Arial"/>
                <w:sz w:val="20"/>
                <w:szCs w:val="20"/>
                <w:lang w:eastAsia="de-DE"/>
              </w:rPr>
              <w:t>e Medien.</w:t>
            </w:r>
          </w:p>
          <w:p w:rsidR="00254F2D" w:rsidRDefault="00254F2D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Sie verwenden sowohl Istwerte als auch gegebene Planwerte (Normalkosten, Plankosten).</w:t>
            </w:r>
          </w:p>
          <w:p w:rsidR="00254F2D" w:rsidRDefault="00254F2D">
            <w:pPr>
              <w:spacing w:after="0" w:line="240" w:lineRule="auto"/>
              <w:jc w:val="left"/>
              <w:rPr>
                <w:rFonts w:cs="Arial"/>
                <w:i/>
                <w:iCs/>
                <w:sz w:val="20"/>
                <w:szCs w:val="20"/>
                <w:lang w:eastAsia="de-DE"/>
              </w:rPr>
            </w:pP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contextualSpacing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20 UE</w:t>
            </w:r>
          </w:p>
        </w:tc>
        <w:tc>
          <w:tcPr>
            <w:tcW w:w="7088" w:type="dxa"/>
            <w:gridSpan w:val="3"/>
            <w:vMerge w:val="restart"/>
          </w:tcPr>
          <w:p w:rsidR="00254F2D" w:rsidRDefault="00254F2D">
            <w:pPr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SuS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führen eine mehrstufige Kostenstellenrechnung durch.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ermitteln die Zuschlagssätze für die Kalkulation. 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berücksichtigen bei der Kostenstellenrechnung auch die Maschinenstundensätze. 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kalkulieren die Selbstkosten der Kostenträger auf Vollkostenbasis unter Berücksichtigung der Gemeinkostenumlage. 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verwenden und vergleichen Istwerte sowie Planwerte.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analysieren Abweichungen zwischen Ist- und Plankosten zur Unterstützung der Entscheidungsfindung.</w:t>
            </w:r>
          </w:p>
          <w:p w:rsidR="00254F2D" w:rsidRDefault="00891893" w:rsidP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ordnen die Kosten mithilfe der Äquivalenzziffernrechnung zu. </w:t>
            </w: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Mögliche Inhalte: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Mehrstufige Kostenstellenrechnung (BAB) 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Ermittlung der Kalkulationszuschläge 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Maschinenstundensätze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Selbstkostenkalkulation auf Vollkostenbasis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Istkosten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und Planwerte (Normalkosten und Plankosten)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Abweichungsanalysen bei </w:t>
            </w:r>
            <w:proofErr w:type="spellStart"/>
            <w:r>
              <w:rPr>
                <w:rFonts w:cs="Arial"/>
                <w:sz w:val="20"/>
                <w:szCs w:val="20"/>
              </w:rPr>
              <w:t>Istkosten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als Grundlage für Optimierungsmaßnahmen.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60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Äquivalenzziffern </w:t>
            </w:r>
          </w:p>
        </w:tc>
        <w:tc>
          <w:tcPr>
            <w:tcW w:w="1701" w:type="dxa"/>
            <w:vMerge w:val="restart"/>
          </w:tcPr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Kal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kulation in Excel möglich</w:t>
            </w: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keepNext/>
              <w:keepLines/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Stückkostenrechnung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? 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Siehe AKA nach Veröffentlichung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  <w:vMerge w:val="restart"/>
          </w:tcPr>
          <w:p w:rsidR="00254F2D" w:rsidRDefault="00254F2D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4F2D">
        <w:trPr>
          <w:trHeight w:val="907"/>
        </w:trPr>
        <w:tc>
          <w:tcPr>
            <w:tcW w:w="3964" w:type="dxa"/>
          </w:tcPr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>Themenkomplex 5:</w:t>
            </w: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Deckungsbeitragsrechnung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 xml:space="preserve">Mithilfe der Verfahren der Deckungsbeitragsrechnung bereiten sie kurzfristige unternehmerische Entscheidungen vor (Zusatzaufträge, Preisuntergrenzen, optimales Produktionsprogramm bei einem Engpass). 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15 UE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gridSpan w:val="3"/>
          </w:tcPr>
          <w:p w:rsidR="00254F2D" w:rsidRDefault="00254F2D">
            <w:pPr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SuS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wenden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die Deckungsbeitragsrechnung zur Vorbereitung kurzfristiger Entscheidungen an.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berücksichtigen dabei Entscheidungen zu Zusatzaufträgen. </w:t>
            </w:r>
          </w:p>
          <w:p w:rsidR="00254F2D" w:rsidRDefault="00891893" w:rsidP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legen kurzfristige und langfristige Preisuntergrenzen fest.</w:t>
            </w:r>
          </w:p>
          <w:p w:rsidR="00254F2D" w:rsidRPr="00891893" w:rsidRDefault="00891893" w:rsidP="00891893">
            <w:pPr>
              <w:numPr>
                <w:ilvl w:val="0"/>
                <w:numId w:val="30"/>
              </w:numPr>
              <w:spacing w:after="12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berechnen das optimale Produktionsprogramm bei Engpässen. </w:t>
            </w:r>
          </w:p>
          <w:p w:rsidR="00254F2D" w:rsidRDefault="00254F2D">
            <w:pPr>
              <w:widowControl w:val="0"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Mögliche Inhalte: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Deckungsbeitragsrechnung: Berechnung und Interpretation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Entscheidungen zu Zusatzaufträgen (Break-even-Point)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Preisuntergrenzen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60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optimales Produktionsprogramm bei Engpässen</w:t>
            </w:r>
          </w:p>
          <w:p w:rsidR="00254F2D" w:rsidRDefault="00254F2D">
            <w:pPr>
              <w:pStyle w:val="Listenabsatz"/>
              <w:widowControl w:val="0"/>
              <w:spacing w:after="0" w:line="240" w:lineRule="auto"/>
              <w:ind w:left="17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54F2D" w:rsidRDefault="00254F2D">
            <w:pPr>
              <w:widowControl w:val="0"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</w:tcPr>
          <w:p w:rsidR="00254F2D" w:rsidRDefault="00891893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Optimales Produktionsprogramm: LF6 TK 5</w:t>
            </w:r>
          </w:p>
        </w:tc>
      </w:tr>
      <w:tr w:rsidR="00254F2D">
        <w:trPr>
          <w:trHeight w:val="907"/>
        </w:trPr>
        <w:tc>
          <w:tcPr>
            <w:tcW w:w="3964" w:type="dxa"/>
          </w:tcPr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Themenkomplex 6: </w:t>
            </w: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Investitionsrechnung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Sie wenden statische Verfahren der Investitionsrechnung zur Vorbereitung langfristiger Investitionsentscheidungen an.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15 UE</w:t>
            </w: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8" w:type="dxa"/>
            <w:gridSpan w:val="3"/>
          </w:tcPr>
          <w:p w:rsidR="00254F2D" w:rsidRDefault="00254F2D">
            <w:pPr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SuS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wenden statische Verfahren der Investitionsrechnung an.</w:t>
            </w:r>
          </w:p>
          <w:p w:rsidR="00254F2D" w:rsidRPr="00891893" w:rsidRDefault="00891893" w:rsidP="00891893">
            <w:pPr>
              <w:numPr>
                <w:ilvl w:val="0"/>
                <w:numId w:val="30"/>
              </w:numPr>
              <w:spacing w:after="120" w:line="259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bewerten die Ergebnisse im Hinblick auf langfristige unternehmerische Entscheidungen.</w:t>
            </w:r>
          </w:p>
          <w:p w:rsidR="00254F2D" w:rsidRDefault="00254F2D">
            <w:pPr>
              <w:widowControl w:val="0"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widowControl w:val="0"/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Mögliche Inhalte: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Statische Investitionsverfahren: Kostenvergleich, Gewinnvergleich, Rentabilitätsrechnung, Amortisationsrechnung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60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Bewertung von Investitionen hinsichtli</w:t>
            </w:r>
            <w:r>
              <w:rPr>
                <w:rFonts w:cs="Arial"/>
                <w:sz w:val="20"/>
                <w:szCs w:val="20"/>
              </w:rPr>
              <w:t>ch langfristiger Ziele</w:t>
            </w:r>
          </w:p>
        </w:tc>
        <w:tc>
          <w:tcPr>
            <w:tcW w:w="1701" w:type="dxa"/>
          </w:tcPr>
          <w:p w:rsidR="00254F2D" w:rsidRDefault="00254F2D">
            <w:pPr>
              <w:widowControl w:val="0"/>
              <w:spacing w:after="0" w:line="240" w:lineRule="auto"/>
              <w:contextualSpacing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Kalkulation in Excel möglich</w:t>
            </w:r>
          </w:p>
        </w:tc>
        <w:tc>
          <w:tcPr>
            <w:tcW w:w="1749" w:type="dxa"/>
          </w:tcPr>
          <w:p w:rsidR="00254F2D" w:rsidRDefault="00254F2D">
            <w:pPr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254F2D">
        <w:trPr>
          <w:trHeight w:val="907"/>
        </w:trPr>
        <w:tc>
          <w:tcPr>
            <w:tcW w:w="3964" w:type="dxa"/>
          </w:tcPr>
          <w:p w:rsidR="00254F2D" w:rsidRDefault="00891893">
            <w:pPr>
              <w:keepNext/>
              <w:keepLines/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lastRenderedPageBreak/>
              <w:t xml:space="preserve">Themenkomplex 7: </w:t>
            </w:r>
          </w:p>
          <w:p w:rsidR="00254F2D" w:rsidRDefault="00891893">
            <w:pPr>
              <w:keepNext/>
              <w:keepLines/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Ergebnisbewertung</w:t>
            </w:r>
          </w:p>
          <w:p w:rsidR="00254F2D" w:rsidRDefault="00254F2D">
            <w:pPr>
              <w:keepNext/>
              <w:keepLines/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Die Schülerinnen und Schüler bewerten</w:t>
            </w:r>
            <w:r>
              <w:rPr>
                <w:rFonts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de-DE"/>
              </w:rPr>
              <w:t>ihre Ergebnisse im Hinblick auf die zu treffenden unternehmerischen Entscheidungen unter Berücksichtigung quantitativer und qualitativer Unternehmensziele. Sie setzen sich dabei mit möglichen Zielkonflikten auseinander.</w:t>
            </w:r>
          </w:p>
          <w:p w:rsidR="00254F2D" w:rsidRDefault="00254F2D">
            <w:pPr>
              <w:keepNext/>
              <w:keepLines/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spacing w:after="0" w:line="240" w:lineRule="auto"/>
              <w:jc w:val="left"/>
              <w:rPr>
                <w:rFonts w:cs="Arial"/>
                <w:sz w:val="20"/>
                <w:szCs w:val="20"/>
                <w:lang w:eastAsia="de-DE"/>
              </w:rPr>
            </w:pPr>
            <w:r>
              <w:rPr>
                <w:rFonts w:cs="Arial"/>
                <w:sz w:val="20"/>
                <w:szCs w:val="20"/>
                <w:lang w:eastAsia="de-DE"/>
              </w:rPr>
              <w:t>Die Schülerinnen und Schüler reflek</w:t>
            </w:r>
            <w:r>
              <w:rPr>
                <w:rFonts w:cs="Arial"/>
                <w:sz w:val="20"/>
                <w:szCs w:val="20"/>
                <w:lang w:eastAsia="de-DE"/>
              </w:rPr>
              <w:t>tieren</w:t>
            </w:r>
            <w:r>
              <w:rPr>
                <w:rFonts w:cs="Arial"/>
                <w:b/>
                <w:bCs/>
                <w:sz w:val="20"/>
                <w:szCs w:val="20"/>
                <w:lang w:eastAsia="de-DE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de-DE"/>
              </w:rPr>
              <w:t>ihren Arbeitsprozess und bereiten Vorschläge zu dessen Optimierung vor.</w:t>
            </w:r>
          </w:p>
          <w:p w:rsidR="00254F2D" w:rsidRDefault="00254F2D">
            <w:pPr>
              <w:keepNext/>
              <w:keepLines/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254F2D">
            <w:pPr>
              <w:keepNext/>
              <w:keepLines/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keepNext/>
              <w:keepLines/>
              <w:widowControl w:val="0"/>
              <w:tabs>
                <w:tab w:val="center" w:pos="384"/>
              </w:tabs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4 UE</w:t>
            </w:r>
          </w:p>
        </w:tc>
        <w:tc>
          <w:tcPr>
            <w:tcW w:w="7088" w:type="dxa"/>
            <w:gridSpan w:val="3"/>
          </w:tcPr>
          <w:p w:rsidR="00254F2D" w:rsidRDefault="00254F2D">
            <w:pPr>
              <w:keepNext/>
              <w:keepLines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  <w:p w:rsidR="00254F2D" w:rsidRDefault="00891893">
            <w:pPr>
              <w:keepNext/>
              <w:keepLines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Die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</w:rPr>
              <w:t>SuS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</w:rPr>
              <w:t>…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analysieren und bewerten die Ergebnisse in Hinblick auf die quantitativen sowie qualitativen Unternehmenszielen.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setzen sich mit Zielkonflikten auseinander.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60" w:line="259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reflektieren ihren Arbeitsprozess und entwickeln Vorschläge zur Optimierung.</w:t>
            </w:r>
          </w:p>
          <w:p w:rsidR="00254F2D" w:rsidRDefault="00254F2D">
            <w:pPr>
              <w:keepNext/>
              <w:keepLines/>
              <w:widowControl w:val="0"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bookmarkStart w:id="3" w:name="_GoBack"/>
            <w:bookmarkEnd w:id="3"/>
          </w:p>
          <w:p w:rsidR="00254F2D" w:rsidRDefault="00891893">
            <w:pPr>
              <w:keepNext/>
              <w:keepLines/>
              <w:widowControl w:val="0"/>
              <w:spacing w:after="0" w:line="240" w:lineRule="auto"/>
              <w:jc w:val="left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Mögliche Inhalte: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Bewertung der Ergebnisse hinsichtlich quantitativer und qualitativer Unternehmensziele 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Umgang mit Zielkonflikten und Erarbeitung von Lösungsvorschlägen.</w:t>
            </w:r>
          </w:p>
          <w:p w:rsidR="00254F2D" w:rsidRDefault="00891893">
            <w:pPr>
              <w:numPr>
                <w:ilvl w:val="0"/>
                <w:numId w:val="30"/>
              </w:numPr>
              <w:spacing w:after="120" w:line="240" w:lineRule="auto"/>
              <w:ind w:left="714" w:hanging="357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Refle</w:t>
            </w:r>
            <w:r>
              <w:rPr>
                <w:rFonts w:cs="Arial"/>
                <w:sz w:val="20"/>
                <w:szCs w:val="20"/>
              </w:rPr>
              <w:t>xion und Optimierung des eigenen Arbeitsprozesses.</w:t>
            </w:r>
          </w:p>
        </w:tc>
        <w:tc>
          <w:tcPr>
            <w:tcW w:w="1701" w:type="dxa"/>
          </w:tcPr>
          <w:p w:rsidR="00254F2D" w:rsidRDefault="00254F2D">
            <w:pPr>
              <w:keepNext/>
              <w:keepLines/>
              <w:widowControl w:val="0"/>
              <w:spacing w:after="0" w:line="240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9" w:type="dxa"/>
          </w:tcPr>
          <w:p w:rsidR="00254F2D" w:rsidRDefault="00254F2D">
            <w:pPr>
              <w:keepNext/>
              <w:keepLines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:rsidR="00254F2D" w:rsidRDefault="00891893">
            <w:pPr>
              <w:keepNext/>
              <w:keepLines/>
              <w:spacing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Unternehmensziele: LF1 TK 2</w:t>
            </w:r>
          </w:p>
        </w:tc>
      </w:tr>
    </w:tbl>
    <w:p w:rsidR="00254F2D" w:rsidRDefault="00254F2D">
      <w:pPr>
        <w:tabs>
          <w:tab w:val="left" w:pos="2280"/>
        </w:tabs>
        <w:spacing w:after="0" w:line="240" w:lineRule="auto"/>
        <w:rPr>
          <w:rFonts w:cs="Arial"/>
          <w:sz w:val="20"/>
          <w:szCs w:val="20"/>
        </w:rPr>
      </w:pPr>
    </w:p>
    <w:sectPr w:rsidR="00254F2D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903" w:right="1417" w:bottom="851" w:left="1134" w:header="708" w:footer="4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F2D" w:rsidRDefault="00891893">
      <w:pPr>
        <w:spacing w:after="0" w:line="240" w:lineRule="auto"/>
      </w:pPr>
      <w:r>
        <w:separator/>
      </w:r>
    </w:p>
  </w:endnote>
  <w:endnote w:type="continuationSeparator" w:id="0">
    <w:p w:rsidR="00254F2D" w:rsidRDefault="0089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2D" w:rsidRDefault="00891893">
    <w:pPr>
      <w:pBdr>
        <w:top w:val="single" w:sz="4" w:space="1" w:color="D9D9D9"/>
      </w:pBdr>
      <w:tabs>
        <w:tab w:val="left" w:pos="3669"/>
        <w:tab w:val="center" w:pos="4536"/>
        <w:tab w:val="right" w:pos="9072"/>
      </w:tabs>
      <w:rPr>
        <w:sz w:val="20"/>
        <w:szCs w:val="20"/>
      </w:rPr>
    </w:pPr>
    <w:r>
      <w:rPr>
        <w:sz w:val="20"/>
        <w:szCs w:val="20"/>
      </w:rPr>
      <w:t>Stand: Januar 2025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sdt>
      <w:sdtPr>
        <w:rPr>
          <w:sz w:val="20"/>
          <w:szCs w:val="20"/>
        </w:rPr>
        <w:id w:val="-212275503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Seite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von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F2D" w:rsidRDefault="00891893">
      <w:pPr>
        <w:spacing w:after="0" w:line="240" w:lineRule="auto"/>
      </w:pPr>
      <w:r>
        <w:separator/>
      </w:r>
    </w:p>
  </w:footnote>
  <w:footnote w:type="continuationSeparator" w:id="0">
    <w:p w:rsidR="00254F2D" w:rsidRDefault="0089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2D" w:rsidRDefault="00891893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39785" cy="648970"/>
              <wp:effectExtent l="0" t="0" r="0" b="0"/>
              <wp:wrapNone/>
              <wp:docPr id="1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8439785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4F2D" w:rsidRDefault="0089189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Nur zur internen Verwendung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0" o:spid="_x0000_s0" o:spt="1" type="#_x0000_t1" style="position:absolute;z-index:-251659264;o:allowoverlap:true;o:allowincell:false;mso-position-horizontal-relative:margin;mso-position-horizontal:center;mso-position-vertical-relative:margin;mso-position-vertical:center;width:664.55pt;height:51.10pt;mso-wrap-distance-left:9.00pt;mso-wrap-distance-top:0.00pt;mso-wrap-distance-right:9.00pt;mso-wrap-distance-bottom:0.00pt;rotation:315;visibility:visible;" fill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Nur zur internen Verwendung</w:t>
                    </w: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2D" w:rsidRDefault="00891893">
    <w:pPr>
      <w:pStyle w:val="Kopfzeile"/>
      <w:rPr>
        <w:sz w:val="20"/>
      </w:rPr>
    </w:pPr>
    <w:r>
      <w:rPr>
        <w:sz w:val="20"/>
      </w:rPr>
      <w:t>Industriekaufmann/-frau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2D" w:rsidRDefault="00891893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39785" cy="648970"/>
              <wp:effectExtent l="0" t="0" r="0" b="0"/>
              <wp:wrapNone/>
              <wp:docPr id="2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rot="18900000">
                        <a:off x="0" y="0"/>
                        <a:ext cx="8439785" cy="648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4F2D" w:rsidRDefault="00891893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Outline w14:w="12700" w14:cap="flat" w14:cmpd="sng" w14:algn="ctr">
                                <w14:noFill/>
                                <w14:prstDash w14:val="solid"/>
                                <w14:bevel/>
                              </w14:textOutline>
                              <w14:textFill>
                                <w14:solidFill>
                                  <w14:srgbClr w14:val="C0C0C0">
                                    <w14:alpha w14:val="49803"/>
                                  </w14:srgbClr>
                                </w14:solidFill>
                              </w14:textFill>
                            </w:rPr>
                            <w:t>Nur zur internen Verwendung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rm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shape 1" o:spid="_x0000_s1" o:spt="1" type="#_x0000_t1" style="position:absolute;z-index:-251660288;o:allowoverlap:true;o:allowincell:false;mso-position-horizontal-relative:margin;mso-position-horizontal:center;mso-position-vertical-relative:margin;mso-position-vertical:center;width:664.55pt;height:51.10pt;mso-wrap-distance-left:9.00pt;mso-wrap-distance-top:0.00pt;mso-wrap-distance-right:9.00pt;mso-wrap-distance-bottom:0.00pt;rotation:315;visibility:visible;" filled="f">
              <v:textbox inset="0,0,0,0">
                <w:txbxContent>
                  <w:p>
                    <w:pPr>
                      <w:pBdr/>
                      <w:spacing/>
                      <w:ind/>
                      <w:jc w:val="center"/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  <w14:textFill>
                          <w14:solidFill>
                            <w14:srgbClr w14:val="C0C0C0">
                              <w14:alpha w14:val="49803"/>
                            </w14:srgbClr>
                          </w14:solidFill>
                        </w14:textFill>
                      </w:rPr>
                      <w:t xml:space="preserve">Nur zur internen Verwendung</w:t>
                    </w:r>
                    <w:r>
                      <w:rPr>
                        <w:color w:val="c0c0c0"/>
                        <w:sz w:val="2"/>
                        <w:szCs w:val="2"/>
                        <w14:textOutline w14:w="12700" w14:cap="flat" w14:cmpd="sng" w14:algn="ctr">
                          <w14:noFill/>
                          <w14:prstDash w14:val="solid"/>
                          <w14:bevel/>
                        </w14:textOutline>
                      </w:rPr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584"/>
    <w:multiLevelType w:val="multilevel"/>
    <w:tmpl w:val="0342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76AD0"/>
    <w:multiLevelType w:val="multilevel"/>
    <w:tmpl w:val="DBF87A9A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E650DF"/>
    <w:multiLevelType w:val="multilevel"/>
    <w:tmpl w:val="6710530E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5581C"/>
    <w:multiLevelType w:val="multilevel"/>
    <w:tmpl w:val="E5185592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F266063"/>
    <w:multiLevelType w:val="multilevel"/>
    <w:tmpl w:val="2594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26247"/>
    <w:multiLevelType w:val="multilevel"/>
    <w:tmpl w:val="F5E29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F4280A"/>
    <w:multiLevelType w:val="multilevel"/>
    <w:tmpl w:val="626E99B2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06AE9"/>
    <w:multiLevelType w:val="multilevel"/>
    <w:tmpl w:val="5FCEE502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232C16"/>
    <w:multiLevelType w:val="multilevel"/>
    <w:tmpl w:val="EBD4E058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311F59"/>
    <w:multiLevelType w:val="multilevel"/>
    <w:tmpl w:val="A0C42040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1765708"/>
    <w:multiLevelType w:val="multilevel"/>
    <w:tmpl w:val="251E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B5166"/>
    <w:multiLevelType w:val="multilevel"/>
    <w:tmpl w:val="DFAE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25E9A"/>
    <w:multiLevelType w:val="multilevel"/>
    <w:tmpl w:val="2474CA44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7D3A04"/>
    <w:multiLevelType w:val="multilevel"/>
    <w:tmpl w:val="E174A4E6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B481CA7"/>
    <w:multiLevelType w:val="multilevel"/>
    <w:tmpl w:val="B340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D40D9C"/>
    <w:multiLevelType w:val="multilevel"/>
    <w:tmpl w:val="A27277FC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color w:val="2396A0"/>
      </w:rPr>
    </w:lvl>
    <w:lvl w:ilvl="1">
      <w:start w:val="1"/>
      <w:numFmt w:val="decimal"/>
      <w:isLgl/>
      <w:lvlText w:val="%1.%2"/>
      <w:lvlJc w:val="left"/>
      <w:pPr>
        <w:ind w:left="15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6" w15:restartNumberingAfterBreak="0">
    <w:nsid w:val="2CE21DC7"/>
    <w:multiLevelType w:val="multilevel"/>
    <w:tmpl w:val="1A46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186B5C"/>
    <w:multiLevelType w:val="multilevel"/>
    <w:tmpl w:val="F19A5824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5357952"/>
    <w:multiLevelType w:val="multilevel"/>
    <w:tmpl w:val="1820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452740"/>
    <w:multiLevelType w:val="multilevel"/>
    <w:tmpl w:val="F284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235BF"/>
    <w:multiLevelType w:val="multilevel"/>
    <w:tmpl w:val="369A17FA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313D2"/>
    <w:multiLevelType w:val="multilevel"/>
    <w:tmpl w:val="419C8A56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3BA571FA"/>
    <w:multiLevelType w:val="multilevel"/>
    <w:tmpl w:val="93C6A9BC"/>
    <w:lvl w:ilvl="0">
      <w:start w:val="1"/>
      <w:numFmt w:val="bullet"/>
      <w:pStyle w:val="Kompetenzen"/>
      <w:lvlText w:val="-"/>
      <w:lvlJc w:val="left"/>
      <w:pPr>
        <w:ind w:left="284" w:hanging="284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0" w:firstLine="56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1E76A61"/>
    <w:multiLevelType w:val="multilevel"/>
    <w:tmpl w:val="A1DCEDAC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45320B"/>
    <w:multiLevelType w:val="multilevel"/>
    <w:tmpl w:val="36B08ECE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576CDE"/>
    <w:multiLevelType w:val="multilevel"/>
    <w:tmpl w:val="7CCAE43A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45ED5788"/>
    <w:multiLevelType w:val="multilevel"/>
    <w:tmpl w:val="9CA2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2345B2"/>
    <w:multiLevelType w:val="multilevel"/>
    <w:tmpl w:val="FFE45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93EEB"/>
    <w:multiLevelType w:val="multilevel"/>
    <w:tmpl w:val="E310730A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12824F1"/>
    <w:multiLevelType w:val="multilevel"/>
    <w:tmpl w:val="D82816F6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23636E3"/>
    <w:multiLevelType w:val="multilevel"/>
    <w:tmpl w:val="9E6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55580C"/>
    <w:multiLevelType w:val="multilevel"/>
    <w:tmpl w:val="3594D4F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043A3"/>
    <w:multiLevelType w:val="multilevel"/>
    <w:tmpl w:val="0B983AFE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8453F0"/>
    <w:multiLevelType w:val="multilevel"/>
    <w:tmpl w:val="BC76B0F8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60684B"/>
    <w:multiLevelType w:val="multilevel"/>
    <w:tmpl w:val="B748D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4E2FE8"/>
    <w:multiLevelType w:val="multilevel"/>
    <w:tmpl w:val="1E82C0E6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17216D8"/>
    <w:multiLevelType w:val="multilevel"/>
    <w:tmpl w:val="24263196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B780C"/>
    <w:multiLevelType w:val="multilevel"/>
    <w:tmpl w:val="5D3EA012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354497F"/>
    <w:multiLevelType w:val="multilevel"/>
    <w:tmpl w:val="8D9ACD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861E9F"/>
    <w:multiLevelType w:val="multilevel"/>
    <w:tmpl w:val="F1A02576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68A426A4"/>
    <w:multiLevelType w:val="multilevel"/>
    <w:tmpl w:val="2F80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A20AA6"/>
    <w:multiLevelType w:val="multilevel"/>
    <w:tmpl w:val="8A5A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0D6C52"/>
    <w:multiLevelType w:val="multilevel"/>
    <w:tmpl w:val="C04461E4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3" w15:restartNumberingAfterBreak="0">
    <w:nsid w:val="71FA5268"/>
    <w:multiLevelType w:val="multilevel"/>
    <w:tmpl w:val="32FEC112"/>
    <w:lvl w:ilvl="0">
      <w:start w:val="5"/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6F58F0"/>
    <w:multiLevelType w:val="multilevel"/>
    <w:tmpl w:val="8494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251DE2"/>
    <w:multiLevelType w:val="multilevel"/>
    <w:tmpl w:val="45DA07B6"/>
    <w:lvl w:ilvl="0">
      <w:start w:val="5"/>
      <w:numFmt w:val="bullet"/>
      <w:lvlText w:val="-"/>
      <w:lvlJc w:val="left"/>
      <w:pPr>
        <w:ind w:left="709" w:hanging="360"/>
      </w:pPr>
    </w:lvl>
    <w:lvl w:ilvl="1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22"/>
  </w:num>
  <w:num w:numId="3">
    <w:abstractNumId w:val="38"/>
  </w:num>
  <w:num w:numId="4">
    <w:abstractNumId w:val="12"/>
  </w:num>
  <w:num w:numId="5">
    <w:abstractNumId w:val="13"/>
  </w:num>
  <w:num w:numId="6">
    <w:abstractNumId w:val="37"/>
  </w:num>
  <w:num w:numId="7">
    <w:abstractNumId w:val="9"/>
  </w:num>
  <w:num w:numId="8">
    <w:abstractNumId w:val="21"/>
  </w:num>
  <w:num w:numId="9">
    <w:abstractNumId w:val="8"/>
  </w:num>
  <w:num w:numId="10">
    <w:abstractNumId w:val="1"/>
  </w:num>
  <w:num w:numId="11">
    <w:abstractNumId w:val="33"/>
  </w:num>
  <w:num w:numId="12">
    <w:abstractNumId w:val="25"/>
  </w:num>
  <w:num w:numId="13">
    <w:abstractNumId w:val="2"/>
  </w:num>
  <w:num w:numId="14">
    <w:abstractNumId w:val="35"/>
  </w:num>
  <w:num w:numId="15">
    <w:abstractNumId w:val="32"/>
  </w:num>
  <w:num w:numId="16">
    <w:abstractNumId w:val="7"/>
  </w:num>
  <w:num w:numId="17">
    <w:abstractNumId w:val="43"/>
  </w:num>
  <w:num w:numId="18">
    <w:abstractNumId w:val="17"/>
  </w:num>
  <w:num w:numId="19">
    <w:abstractNumId w:val="24"/>
  </w:num>
  <w:num w:numId="20">
    <w:abstractNumId w:val="39"/>
  </w:num>
  <w:num w:numId="21">
    <w:abstractNumId w:val="20"/>
  </w:num>
  <w:num w:numId="22">
    <w:abstractNumId w:val="36"/>
  </w:num>
  <w:num w:numId="23">
    <w:abstractNumId w:val="45"/>
  </w:num>
  <w:num w:numId="24">
    <w:abstractNumId w:val="23"/>
  </w:num>
  <w:num w:numId="25">
    <w:abstractNumId w:val="42"/>
  </w:num>
  <w:num w:numId="26">
    <w:abstractNumId w:val="3"/>
  </w:num>
  <w:num w:numId="27">
    <w:abstractNumId w:val="29"/>
  </w:num>
  <w:num w:numId="28">
    <w:abstractNumId w:val="6"/>
  </w:num>
  <w:num w:numId="29">
    <w:abstractNumId w:val="28"/>
  </w:num>
  <w:num w:numId="30">
    <w:abstractNumId w:val="31"/>
  </w:num>
  <w:num w:numId="31">
    <w:abstractNumId w:val="16"/>
  </w:num>
  <w:num w:numId="32">
    <w:abstractNumId w:val="19"/>
  </w:num>
  <w:num w:numId="33">
    <w:abstractNumId w:val="41"/>
  </w:num>
  <w:num w:numId="34">
    <w:abstractNumId w:val="4"/>
  </w:num>
  <w:num w:numId="35">
    <w:abstractNumId w:val="5"/>
  </w:num>
  <w:num w:numId="36">
    <w:abstractNumId w:val="10"/>
  </w:num>
  <w:num w:numId="37">
    <w:abstractNumId w:val="18"/>
  </w:num>
  <w:num w:numId="38">
    <w:abstractNumId w:val="14"/>
  </w:num>
  <w:num w:numId="39">
    <w:abstractNumId w:val="34"/>
  </w:num>
  <w:num w:numId="40">
    <w:abstractNumId w:val="40"/>
  </w:num>
  <w:num w:numId="41">
    <w:abstractNumId w:val="11"/>
  </w:num>
  <w:num w:numId="42">
    <w:abstractNumId w:val="27"/>
  </w:num>
  <w:num w:numId="43">
    <w:abstractNumId w:val="26"/>
  </w:num>
  <w:num w:numId="44">
    <w:abstractNumId w:val="0"/>
  </w:num>
  <w:num w:numId="45">
    <w:abstractNumId w:val="44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2D"/>
    <w:rsid w:val="00254F2D"/>
    <w:rsid w:val="003E5098"/>
    <w:rsid w:val="0089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D75"/>
  <w15:docId w15:val="{1D720EB9-E704-496F-8CEA-7B49ADE2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  <w:jc w:val="both"/>
    </w:pPr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"/>
      </w:numPr>
      <w:pBdr>
        <w:bottom w:val="single" w:sz="4" w:space="8" w:color="2396A0"/>
      </w:pBdr>
      <w:spacing w:after="600" w:line="280" w:lineRule="atLeast"/>
      <w:outlineLvl w:val="0"/>
    </w:pPr>
    <w:rPr>
      <w:rFonts w:eastAsia="Times New Roman" w:cs="Arial"/>
      <w:b/>
      <w:color w:val="2396A0"/>
      <w:sz w:val="40"/>
      <w:szCs w:val="40"/>
      <w:lang w:eastAsia="de-DE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pPr>
      <w:numPr>
        <w:ilvl w:val="1"/>
        <w:numId w:val="0"/>
      </w:numPr>
      <w:spacing w:after="240"/>
      <w:ind w:left="851" w:hanging="851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pPr>
      <w:pBdr>
        <w:bottom w:val="none" w:sz="0" w:space="0" w:color="000000"/>
      </w:pBdr>
      <w:spacing w:before="280"/>
      <w:ind w:left="1540" w:hanging="405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pPr>
      <w:ind w:left="851" w:hanging="851"/>
      <w:outlineLvl w:val="3"/>
    </w:pPr>
    <w:rPr>
      <w:bCs w:val="0"/>
      <w:iCs/>
      <w:sz w:val="24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365F91" w:themeColor="accent1" w:themeShade="BF"/>
      <w:spacing w:val="5"/>
    </w:r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CaptionChar">
    <w:name w:val="Caption Char"/>
    <w:uiPriority w:val="99"/>
  </w:style>
  <w:style w:type="table" w:customStyle="1" w:styleId="EinfacheTabelle110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EinfacheTabelle210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0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EinfacheTabelle410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EinfacheTabelle510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itternetztabelle1hell10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210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itternetztabelle310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itternetztabelle410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itternetztabelle5dunkel10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tternetztabelle6farbig1">
    <w:name w:val="Gr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tternetztabelle7farbig1">
    <w:name w:val="Gr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1hell10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entabelle210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entabelle310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410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entabelle5dunkel10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entabelle6farbig10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7farbig10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customStyle="1" w:styleId="EinfacheTabelle1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41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51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itternetztabelle1hell1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21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31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41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5dunkel1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tternetztabelle6farbig10">
    <w:name w:val="Gr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tternetztabelle7farbig10">
    <w:name w:val="Gr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1hell1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entabelle21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entabelle31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41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entabelle5dunkel1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entabelle6farbig1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7farbig1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10">
    <w:name w:val="Einfache Tabelle 1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10">
    <w:name w:val="Einfache Tabelle 21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10">
    <w:name w:val="Einfache Tabelle 31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4110">
    <w:name w:val="Einfache Tabelle 4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5110">
    <w:name w:val="Einfache Tabelle 51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itternetztabelle1hell110">
    <w:name w:val="Gitternetztabelle 1 hell1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10">
    <w:name w:val="Gitternetztabelle 21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3110">
    <w:name w:val="Gitternetztabelle 31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4110">
    <w:name w:val="Gitternetztabelle 41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5dunkel110">
    <w:name w:val="Gitternetztabelle 5 dunkel1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itternetztabelle6farbig10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0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10">
    <w:name w:val="Listentabelle 1 hell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entabelle2110">
    <w:name w:val="Listentabelle 21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3110">
    <w:name w:val="Listentabelle 31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10">
    <w:name w:val="Listentabelle 41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5dunkel110">
    <w:name w:val="Listentabelle 5 dunkel1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entabelle6farbig110">
    <w:name w:val="Listentabelle 6 farbig1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10">
    <w:name w:val="Listentabelle 7 farbig1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  <w:qFormat/>
  </w:style>
  <w:style w:type="character" w:customStyle="1" w:styleId="berschrift1Zchn">
    <w:name w:val="Überschrift 1 Zchn"/>
    <w:link w:val="berschrift1"/>
    <w:rPr>
      <w:rFonts w:ascii="Arial" w:eastAsia="Times New Roman" w:hAnsi="Arial" w:cs="Arial"/>
      <w:b/>
      <w:color w:val="2396A0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color w:val="2396A0"/>
      <w:sz w:val="28"/>
      <w:szCs w:val="28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Arial"/>
      <w:b/>
      <w:bCs/>
      <w:color w:val="2396A0"/>
      <w:sz w:val="28"/>
      <w:szCs w:val="28"/>
    </w:rPr>
  </w:style>
  <w:style w:type="character" w:customStyle="1" w:styleId="berschrift4Zchn">
    <w:name w:val="Überschrift 4 Zchn"/>
    <w:link w:val="berschrift4"/>
    <w:uiPriority w:val="9"/>
    <w:rPr>
      <w:rFonts w:ascii="Arial" w:eastAsia="Times New Roman" w:hAnsi="Arial" w:cs="Arial"/>
      <w:b/>
      <w:iCs/>
      <w:color w:val="2396A0"/>
      <w:sz w:val="24"/>
      <w:szCs w:val="28"/>
      <w:u w:val="single"/>
    </w:rPr>
  </w:style>
  <w:style w:type="character" w:customStyle="1" w:styleId="berschrift5Zchn">
    <w:name w:val="Überschrift 5 Zchn"/>
    <w:link w:val="berschrift5"/>
    <w:uiPriority w:val="9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000000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/>
    </w:rPr>
  </w:style>
  <w:style w:type="character" w:customStyle="1" w:styleId="ZitatZchn">
    <w:name w:val="Zitat Zchn"/>
    <w:link w:val="Zitat"/>
    <w:uiPriority w:val="29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Pr>
      <w:smallCaps/>
      <w:color w:val="C0504D"/>
      <w:u w:val="single"/>
    </w:rPr>
  </w:style>
  <w:style w:type="character" w:styleId="Buchtitel">
    <w:name w:val="Book Title"/>
    <w:uiPriority w:val="33"/>
    <w:qFormat/>
    <w:rPr>
      <w:rFonts w:ascii="Arial" w:hAnsi="Arial"/>
      <w:b/>
      <w:bCs/>
      <w:smallCaps/>
      <w:color w:val="000000"/>
      <w:spacing w:val="5"/>
    </w:rPr>
  </w:style>
  <w:style w:type="paragraph" w:styleId="Verzeichnis1">
    <w:name w:val="toc 1"/>
    <w:basedOn w:val="Standard"/>
    <w:next w:val="Standard"/>
    <w:uiPriority w:val="39"/>
    <w:pPr>
      <w:tabs>
        <w:tab w:val="left" w:pos="567"/>
        <w:tab w:val="left" w:pos="851"/>
        <w:tab w:val="right" w:leader="dot" w:pos="9060"/>
      </w:tabs>
      <w:spacing w:after="0" w:line="360" w:lineRule="auto"/>
      <w:ind w:left="851" w:hanging="851"/>
    </w:pPr>
    <w:rPr>
      <w:rFonts w:eastAsia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szCs w:val="22"/>
      <w:lang w:eastAsia="en-US"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left" w:pos="0"/>
        <w:tab w:val="left" w:pos="851"/>
        <w:tab w:val="right" w:leader="dot" w:pos="9062"/>
      </w:tabs>
      <w:spacing w:after="120"/>
      <w:ind w:left="851" w:hanging="851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left" w:pos="567"/>
        <w:tab w:val="right" w:leader="dot" w:pos="9062"/>
      </w:tabs>
      <w:ind w:left="851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eastAsia="en-US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customStyle="1" w:styleId="Gitternetztabelle1hellAkzent11">
    <w:name w:val="Gitternetztabelle 1 hell  – Akzent 11"/>
    <w:basedOn w:val="NormaleTabelle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BIBBNummerierungabc">
    <w:name w:val="BIBB Nummerierung abc"/>
    <w:basedOn w:val="Standard"/>
    <w:pPr>
      <w:widowControl w:val="0"/>
      <w:spacing w:after="0" w:line="240" w:lineRule="auto"/>
    </w:pPr>
    <w:rPr>
      <w:rFonts w:eastAsia="Arial" w:cs="Arial"/>
      <w:color w:val="00000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Formatvorlage1">
    <w:name w:val="Formatvorlage1"/>
    <w:basedOn w:val="berschrift1"/>
    <w:next w:val="Standard"/>
    <w:pPr>
      <w:numPr>
        <w:numId w:val="0"/>
      </w:numPr>
      <w:pBdr>
        <w:bottom w:val="single" w:sz="4" w:space="0" w:color="000000"/>
      </w:pBdr>
      <w:spacing w:before="480" w:after="0" w:line="360" w:lineRule="auto"/>
    </w:pPr>
    <w:rPr>
      <w:color w:val="403152" w:themeColor="accent4" w:themeShade="80"/>
      <w:spacing w:val="15"/>
      <w:sz w:val="26"/>
      <w:szCs w:val="28"/>
      <w:lang w:eastAsia="en-US"/>
    </w:rPr>
  </w:style>
  <w:style w:type="paragraph" w:customStyle="1" w:styleId="Formatvorlage2">
    <w:name w:val="Formatvorlage2"/>
    <w:basedOn w:val="berschrift2"/>
    <w:pPr>
      <w:numPr>
        <w:ilvl w:val="0"/>
      </w:numPr>
      <w:pBdr>
        <w:bottom w:val="none" w:sz="4" w:space="0" w:color="000000"/>
      </w:pBdr>
      <w:spacing w:before="200" w:after="0" w:line="276" w:lineRule="auto"/>
      <w:ind w:left="851" w:hanging="851"/>
      <w:jc w:val="left"/>
    </w:pPr>
    <w:rPr>
      <w:rFonts w:cs="Times New Roman"/>
      <w:bCs/>
      <w:color w:val="000000"/>
      <w:sz w:val="24"/>
      <w:szCs w:val="26"/>
      <w:lang w:eastAsia="en-US"/>
    </w:rPr>
  </w:style>
  <w:style w:type="paragraph" w:customStyle="1" w:styleId="Formatvorlage3">
    <w:name w:val="Formatvorlage3"/>
    <w:basedOn w:val="berschrift2"/>
    <w:pPr>
      <w:numPr>
        <w:ilvl w:val="0"/>
      </w:numPr>
      <w:pBdr>
        <w:bottom w:val="none" w:sz="4" w:space="0" w:color="000000"/>
      </w:pBdr>
      <w:spacing w:before="320" w:after="120" w:line="276" w:lineRule="auto"/>
      <w:ind w:left="851" w:hanging="851"/>
      <w:jc w:val="left"/>
    </w:pPr>
    <w:rPr>
      <w:rFonts w:cs="Times New Roman"/>
      <w:bCs/>
      <w:color w:val="000000"/>
      <w:sz w:val="22"/>
      <w:szCs w:val="26"/>
      <w:lang w:eastAsia="en-US"/>
    </w:rPr>
  </w:style>
  <w:style w:type="paragraph" w:customStyle="1" w:styleId="berschrift51">
    <w:name w:val="Überschrift 51"/>
    <w:basedOn w:val="Standard"/>
    <w:next w:val="Standard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4"/>
      <w:lang w:eastAsia="en-US"/>
    </w:rPr>
  </w:style>
  <w:style w:type="paragraph" w:customStyle="1" w:styleId="Kopfzeileunten">
    <w:name w:val="Kopfzeile unten"/>
    <w:basedOn w:val="Kopfzeile"/>
    <w:link w:val="KopfzeileuntenZchn"/>
    <w:qFormat/>
    <w:pPr>
      <w:spacing w:before="40" w:after="240" w:line="240" w:lineRule="auto"/>
      <w:ind w:left="1985"/>
    </w:pPr>
    <w:rPr>
      <w:rFonts w:ascii="FreeSans" w:hAnsi="FreeSans"/>
      <w:color w:val="595959"/>
      <w:sz w:val="20"/>
      <w:szCs w:val="24"/>
    </w:rPr>
  </w:style>
  <w:style w:type="character" w:customStyle="1" w:styleId="KopfzeileuntenZchn">
    <w:name w:val="Kopfzeile unten Zchn"/>
    <w:link w:val="Kopfzeileunten"/>
    <w:rPr>
      <w:rFonts w:ascii="FreeSans" w:hAnsi="FreeSans"/>
      <w:color w:val="595959"/>
      <w:sz w:val="24"/>
      <w:szCs w:val="24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basedOn w:val="Absatz-Standardschriftart"/>
  </w:style>
  <w:style w:type="table" w:customStyle="1" w:styleId="Tabellenraster3">
    <w:name w:val="Tabellenraster3"/>
    <w:basedOn w:val="NormaleTabelle"/>
    <w:next w:val="Tabellenraster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Absatz-Standardschriftart"/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pPr>
      <w:spacing w:before="180" w:after="180" w:line="240" w:lineRule="auto"/>
      <w:jc w:val="left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customStyle="1" w:styleId="ImageCaption">
    <w:name w:val="Image Caption"/>
    <w:basedOn w:val="Beschriftung"/>
    <w:pPr>
      <w:spacing w:after="120"/>
      <w:jc w:val="left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/>
    </w:rPr>
  </w:style>
  <w:style w:type="paragraph" w:customStyle="1" w:styleId="CaptionedFigure">
    <w:name w:val="Captioned Figure"/>
    <w:basedOn w:val="Standard"/>
    <w:pPr>
      <w:keepNext/>
      <w:spacing w:line="240" w:lineRule="auto"/>
      <w:jc w:val="left"/>
    </w:pPr>
    <w:rPr>
      <w:rFonts w:asciiTheme="minorHAnsi" w:eastAsiaTheme="minorHAnsi" w:hAnsiTheme="minorHAnsi" w:cstheme="minorBidi"/>
      <w:szCs w:val="24"/>
      <w:lang w:val="en-US"/>
    </w:rPr>
  </w:style>
  <w:style w:type="paragraph" w:customStyle="1" w:styleId="lead">
    <w:name w:val="lead"/>
    <w:basedOn w:val="Standar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paragraph" w:customStyle="1" w:styleId="Kompetenzen">
    <w:name w:val="Kompetenzen"/>
    <w:basedOn w:val="Standard"/>
    <w:pPr>
      <w:framePr w:hSpace="141" w:wrap="around" w:vAnchor="page" w:hAnchor="margin" w:y="1659"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left"/>
    </w:pPr>
    <w:rPr>
      <w:rFonts w:ascii="Calibri" w:eastAsia="Times New Roman" w:hAnsi="Calibri"/>
      <w:sz w:val="22"/>
      <w:lang w:val="en-US" w:bidi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EinfacheTabelle1">
    <w:name w:val="Plain Table 1"/>
    <w:basedOn w:val="NormaleTabelle"/>
    <w:uiPriority w:val="4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Standard"/>
    <w:uiPriority w:val="1"/>
    <w:qFormat/>
    <w:pPr>
      <w:widowControl w:val="0"/>
      <w:spacing w:after="0" w:line="240" w:lineRule="auto"/>
      <w:jc w:val="left"/>
    </w:pPr>
    <w:rPr>
      <w:rFonts w:eastAsia="Times New Roman" w:cs="Arial"/>
      <w:sz w:val="22"/>
    </w:rPr>
  </w:style>
  <w:style w:type="character" w:customStyle="1" w:styleId="docy">
    <w:name w:val="docy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 Umsetzungshilfen STFA</dc:creator>
  <cp:lastModifiedBy>Hartinger, Maria-Anna</cp:lastModifiedBy>
  <cp:revision>3</cp:revision>
  <dcterms:created xsi:type="dcterms:W3CDTF">2025-02-23T15:33:00Z</dcterms:created>
  <dcterms:modified xsi:type="dcterms:W3CDTF">2025-02-23T15:50:00Z</dcterms:modified>
</cp:coreProperties>
</file>